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rsidR="006C10E8" w:rsidRPr="0090656D" w:rsidRDefault="006C10E8" w:rsidP="00D5640D">
      <w:pPr>
        <w:jc w:val="both"/>
        <w:rPr>
          <w:b/>
          <w:sz w:val="24"/>
          <w:szCs w:val="24"/>
          <w:lang w:val="en-GB"/>
        </w:rPr>
      </w:pPr>
    </w:p>
    <w:p w:rsidR="002E24F7" w:rsidRPr="00C54861" w:rsidRDefault="00D5336D" w:rsidP="002E1AD0">
      <w:pPr>
        <w:pBdr>
          <w:bottom w:val="single" w:sz="6" w:space="1" w:color="auto"/>
        </w:pBdr>
        <w:jc w:val="both"/>
        <w:rPr>
          <w:sz w:val="24"/>
          <w:szCs w:val="24"/>
          <w:lang w:val="en-GB"/>
        </w:rPr>
      </w:pPr>
      <w:r>
        <w:rPr>
          <w:sz w:val="24"/>
          <w:szCs w:val="24"/>
          <w:lang w:val="en-GB"/>
        </w:rPr>
        <w:t>Estonian Academy of Music and Theatre</w:t>
      </w:r>
    </w:p>
    <w:p w:rsidR="002E24F7" w:rsidRDefault="00374255" w:rsidP="00D5640D">
      <w:pPr>
        <w:jc w:val="both"/>
        <w:rPr>
          <w:szCs w:val="24"/>
          <w:lang w:val="en-GB"/>
        </w:rPr>
      </w:pPr>
      <w:r w:rsidRPr="00735E06">
        <w:rPr>
          <w:szCs w:val="24"/>
          <w:lang w:val="en-GB"/>
        </w:rPr>
        <w:t>Address</w:t>
      </w:r>
      <w:r w:rsidR="00D5336D">
        <w:rPr>
          <w:szCs w:val="24"/>
          <w:lang w:val="en-GB"/>
        </w:rPr>
        <w:t xml:space="preserve">: </w:t>
      </w:r>
      <w:proofErr w:type="spellStart"/>
      <w:r w:rsidR="00D5336D">
        <w:rPr>
          <w:szCs w:val="24"/>
          <w:lang w:val="en-GB"/>
        </w:rPr>
        <w:t>Tatari</w:t>
      </w:r>
      <w:proofErr w:type="spellEnd"/>
      <w:r w:rsidR="00D5336D">
        <w:rPr>
          <w:szCs w:val="24"/>
          <w:lang w:val="en-GB"/>
        </w:rPr>
        <w:t xml:space="preserve"> 13, Tallinn 10116, Estonia</w:t>
      </w:r>
    </w:p>
    <w:p w:rsidR="00B22E44" w:rsidRPr="00735E06" w:rsidRDefault="00B22E44" w:rsidP="00D5640D">
      <w:pPr>
        <w:jc w:val="both"/>
        <w:rPr>
          <w:szCs w:val="24"/>
          <w:lang w:val="en-GB"/>
        </w:rPr>
      </w:pPr>
    </w:p>
    <w:p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proofErr w:type="spellStart"/>
      <w:r w:rsidR="00D5336D">
        <w:rPr>
          <w:sz w:val="24"/>
          <w:szCs w:val="24"/>
          <w:lang w:val="en-GB"/>
        </w:rPr>
        <w:t>Varema</w:t>
      </w:r>
      <w:proofErr w:type="spellEnd"/>
      <w:r w:rsidR="00D5336D">
        <w:rPr>
          <w:sz w:val="24"/>
          <w:szCs w:val="24"/>
          <w:lang w:val="en-GB"/>
        </w:rPr>
        <w:t xml:space="preserve">, Henry-David, Vice Rector of Artistic Affairs and International Relations </w:t>
      </w:r>
      <w:r w:rsidRPr="00735E06">
        <w:rPr>
          <w:sz w:val="24"/>
          <w:szCs w:val="24"/>
          <w:lang w:val="en-GB"/>
        </w:rPr>
        <w:t>of the one part, and</w:t>
      </w:r>
    </w:p>
    <w:p w:rsidR="00DF0197" w:rsidRDefault="00DF0197" w:rsidP="00D5640D">
      <w:pPr>
        <w:jc w:val="both"/>
        <w:rPr>
          <w:sz w:val="22"/>
          <w:szCs w:val="24"/>
          <w:highlight w:val="lightGray"/>
          <w:lang w:val="en-GB"/>
        </w:rPr>
      </w:pPr>
    </w:p>
    <w:p w:rsidR="002C1A1D" w:rsidRDefault="002C1A1D" w:rsidP="002C1A1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Pr="00392154">
        <w:rPr>
          <w:sz w:val="24"/>
          <w:szCs w:val="24"/>
          <w:highlight w:val="yellow"/>
          <w:lang w:val="en-GB"/>
        </w:rPr>
        <w:t>[Participant name(s) and forename(s)]</w:t>
      </w:r>
    </w:p>
    <w:p w:rsidR="002C1A1D" w:rsidRPr="00F15541" w:rsidRDefault="002C1A1D" w:rsidP="002C1A1D">
      <w:pPr>
        <w:jc w:val="both"/>
        <w:rPr>
          <w:lang w:val="en-GB"/>
        </w:rPr>
      </w:pPr>
      <w:r w:rsidRPr="00F15541">
        <w:rPr>
          <w:lang w:val="en-GB"/>
        </w:rPr>
        <w:t>Seniority in the position:</w:t>
      </w:r>
      <w:r w:rsidRPr="00F15541">
        <w:rPr>
          <w:lang w:val="en-GB"/>
        </w:rPr>
        <w:tab/>
      </w:r>
      <w:r w:rsidRPr="00F15541">
        <w:rPr>
          <w:lang w:val="en-GB"/>
        </w:rPr>
        <w:tab/>
      </w:r>
      <w:r w:rsidRPr="00F15541">
        <w:rPr>
          <w:lang w:val="en-GB"/>
        </w:rPr>
        <w:tab/>
        <w:t xml:space="preserve">Nationality:  </w:t>
      </w:r>
      <w:r w:rsidRPr="00F15541">
        <w:rPr>
          <w:lang w:val="en-GB"/>
        </w:rPr>
        <w:tab/>
      </w:r>
    </w:p>
    <w:p w:rsidR="002C1A1D" w:rsidRPr="00F15541" w:rsidRDefault="002C1A1D" w:rsidP="002C1A1D">
      <w:pPr>
        <w:jc w:val="both"/>
        <w:rPr>
          <w:lang w:val="en-GB"/>
        </w:rPr>
      </w:pPr>
      <w:r w:rsidRPr="008E567A">
        <w:rPr>
          <w:lang w:val="en-GB"/>
        </w:rPr>
        <w:t xml:space="preserve">Address: </w:t>
      </w:r>
      <w:r w:rsidRPr="00392154">
        <w:rPr>
          <w:highlight w:val="yellow"/>
          <w:lang w:val="en-GB"/>
        </w:rPr>
        <w:t>[official address in full]</w:t>
      </w:r>
      <w:r w:rsidRPr="008E567A">
        <w:rPr>
          <w:lang w:val="en-GB"/>
        </w:rPr>
        <w:t xml:space="preserve"> </w:t>
      </w:r>
      <w:r w:rsidRPr="008E567A">
        <w:rPr>
          <w:lang w:val="en-GB"/>
        </w:rPr>
        <w:tab/>
      </w:r>
      <w:r w:rsidRPr="00F15541">
        <w:rPr>
          <w:lang w:val="en-GB"/>
        </w:rPr>
        <w:tab/>
        <w:t xml:space="preserve">Department/unit:   </w:t>
      </w:r>
      <w:r w:rsidRPr="00F15541">
        <w:rPr>
          <w:lang w:val="en-GB"/>
        </w:rPr>
        <w:tab/>
        <w:t xml:space="preserve"> </w:t>
      </w:r>
    </w:p>
    <w:p w:rsidR="002C1A1D" w:rsidRPr="00F15541" w:rsidRDefault="002C1A1D" w:rsidP="002C1A1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2C1A1D" w:rsidRDefault="002C1A1D" w:rsidP="002C1A1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8E719B">
        <w:rPr>
          <w:lang w:val="en-GB"/>
        </w:rPr>
        <w:t xml:space="preserve">              </w:t>
      </w:r>
      <w:r w:rsidRPr="00F15541">
        <w:rPr>
          <w:lang w:val="en-GB"/>
        </w:rPr>
        <w:t>Academic year: 20</w:t>
      </w:r>
      <w:r w:rsidRPr="00F15541">
        <w:rPr>
          <w:highlight w:val="yellow"/>
          <w:lang w:val="en-GB"/>
        </w:rPr>
        <w:t>..</w:t>
      </w:r>
      <w:r w:rsidRPr="00F15541">
        <w:rPr>
          <w:lang w:val="en-GB"/>
        </w:rPr>
        <w:t>/20</w:t>
      </w:r>
      <w:proofErr w:type="gramStart"/>
      <w:r w:rsidRPr="00F15541">
        <w:rPr>
          <w:highlight w:val="yellow"/>
          <w:lang w:val="en-GB"/>
        </w:rPr>
        <w:t>..</w:t>
      </w:r>
      <w:proofErr w:type="gramEnd"/>
    </w:p>
    <w:p w:rsidR="008E719B" w:rsidRDefault="008E719B" w:rsidP="008E719B">
      <w:pPr>
        <w:rPr>
          <w:highlight w:val="yellow"/>
          <w:lang w:val="et-EE" w:eastAsia="et-EE"/>
        </w:rPr>
      </w:pPr>
      <w:r>
        <w:rPr>
          <w:highlight w:val="yellow"/>
          <w:lang w:val="en-US"/>
        </w:rPr>
        <w:t>Date of birth:</w:t>
      </w:r>
      <w:r>
        <w:rPr>
          <w:lang w:val="en-US"/>
        </w:rPr>
        <w:t xml:space="preserve"> </w:t>
      </w:r>
      <w:r>
        <w:rPr>
          <w:lang w:val="en-US"/>
        </w:rPr>
        <w:br/>
      </w:r>
      <w:r>
        <w:rPr>
          <w:highlight w:val="yellow"/>
          <w:lang w:val="en-US" w:eastAsia="et-EE"/>
        </w:rPr>
        <w:t>P</w:t>
      </w:r>
      <w:r>
        <w:rPr>
          <w:highlight w:val="yellow"/>
          <w:lang w:val="et-EE" w:eastAsia="et-EE"/>
        </w:rPr>
        <w:t>ersonal code (ID number</w:t>
      </w:r>
      <w:proofErr w:type="gramStart"/>
      <w:r>
        <w:rPr>
          <w:highlight w:val="yellow"/>
          <w:lang w:val="et-EE" w:eastAsia="et-EE"/>
        </w:rPr>
        <w:t>) :</w:t>
      </w:r>
      <w:proofErr w:type="gramEnd"/>
    </w:p>
    <w:p w:rsidR="008E719B" w:rsidRPr="00F15541" w:rsidRDefault="008E719B" w:rsidP="008E719B">
      <w:pPr>
        <w:jc w:val="both"/>
        <w:rPr>
          <w:lang w:val="en-GB"/>
        </w:rPr>
      </w:pPr>
      <w:r>
        <w:rPr>
          <w:highlight w:val="yellow"/>
          <w:lang w:val="et-EE" w:eastAsia="et-EE"/>
        </w:rPr>
        <w:t>Passport number</w:t>
      </w:r>
      <w:r>
        <w:rPr>
          <w:lang w:val="et-EE" w:eastAsia="et-EE"/>
        </w:rPr>
        <w:t>:</w:t>
      </w:r>
    </w:p>
    <w:p w:rsidR="002C1A1D" w:rsidRDefault="002C1A1D" w:rsidP="002C1A1D">
      <w:pPr>
        <w:ind w:left="2040" w:hanging="2040"/>
        <w:jc w:val="both"/>
        <w:rPr>
          <w:rFonts w:ascii="Verdana" w:hAnsi="Verdana" w:cs="Calibri"/>
          <w:lang w:val="en-GB"/>
        </w:rPr>
      </w:pPr>
      <w:r>
        <w:rPr>
          <w:lang w:val="en-GB"/>
        </w:rPr>
        <w:t>Participant</w:t>
      </w:r>
      <w:r w:rsidRPr="004F6A0D">
        <w:rPr>
          <w:lang w:val="en-GB"/>
        </w:rPr>
        <w:t xml:space="preserve"> with</w:t>
      </w:r>
      <w:r>
        <w:rPr>
          <w:lang w:val="en-GB"/>
        </w:rPr>
        <w:t xml:space="preserve">:   </w:t>
      </w:r>
      <w:r>
        <w:rPr>
          <w:lang w:val="en-GB"/>
        </w:rPr>
        <w:tab/>
      </w:r>
      <w:r>
        <w:rPr>
          <w:lang w:val="en-GB"/>
        </w:rPr>
        <w:tab/>
      </w:r>
      <w:r>
        <w:rPr>
          <w:lang w:val="en-GB"/>
        </w:rPr>
        <w:tab/>
        <w:t>financial support</w:t>
      </w:r>
      <w:r w:rsidRPr="004F6A0D">
        <w:rPr>
          <w:lang w:val="en-GB"/>
        </w:rPr>
        <w:t xml:space="preserve"> from E</w:t>
      </w:r>
      <w:r>
        <w:rPr>
          <w:lang w:val="en-GB"/>
        </w:rPr>
        <w:t>rasmus+</w:t>
      </w:r>
      <w:r w:rsidRPr="004F6A0D">
        <w:rPr>
          <w:lang w:val="en-GB"/>
        </w:rPr>
        <w:t xml:space="preserve"> </w:t>
      </w:r>
      <w:r>
        <w:rPr>
          <w:lang w:val="en-GB"/>
        </w:rPr>
        <w:t xml:space="preserve">EU </w:t>
      </w:r>
      <w:r w:rsidRPr="004F6A0D">
        <w:rPr>
          <w:lang w:val="en-GB"/>
        </w:rPr>
        <w:t xml:space="preserve">funds </w:t>
      </w:r>
      <w:r w:rsidRPr="004F6A0D">
        <w:rPr>
          <w:rFonts w:ascii="Verdana" w:hAnsi="Verdana" w:cs="Calibri"/>
          <w:lang w:val="en-GB"/>
        </w:rPr>
        <w:sym w:font="Wingdings" w:char="F06F"/>
      </w:r>
      <w:r w:rsidR="008E719B">
        <w:rPr>
          <w:rFonts w:ascii="Verdana" w:hAnsi="Verdana" w:cs="Calibri"/>
          <w:lang w:val="en-GB"/>
        </w:rPr>
        <w:t>x</w:t>
      </w:r>
      <w:bookmarkStart w:id="0" w:name="_GoBack"/>
      <w:bookmarkEnd w:id="0"/>
    </w:p>
    <w:p w:rsidR="002C1A1D" w:rsidRPr="00392154" w:rsidRDefault="002C1A1D" w:rsidP="002C1A1D">
      <w:pPr>
        <w:ind w:left="2760" w:firstLine="120"/>
        <w:jc w:val="both"/>
        <w:rPr>
          <w:rFonts w:ascii="Verdana" w:hAnsi="Verdana" w:cs="Calibri"/>
          <w:lang w:val="en-GB"/>
        </w:rPr>
      </w:pPr>
      <w:proofErr w:type="gramStart"/>
      <w:r w:rsidRPr="00392154">
        <w:rPr>
          <w:lang w:val="en-GB"/>
        </w:rPr>
        <w:t>a</w:t>
      </w:r>
      <w:proofErr w:type="gramEnd"/>
      <w:r w:rsidRPr="00392154">
        <w:rPr>
          <w:lang w:val="en-GB"/>
        </w:rPr>
        <w:t xml:space="preserve"> zero-grant </w:t>
      </w:r>
      <w:r w:rsidRPr="004F6A0D">
        <w:rPr>
          <w:rFonts w:ascii="Verdana" w:hAnsi="Verdana" w:cs="Calibri"/>
          <w:lang w:val="en-GB"/>
        </w:rPr>
        <w:sym w:font="Wingdings" w:char="F06F"/>
      </w:r>
      <w:r w:rsidRPr="00392154">
        <w:rPr>
          <w:rFonts w:ascii="Verdana" w:hAnsi="Verdana" w:cs="Calibri"/>
          <w:lang w:val="en-GB"/>
        </w:rPr>
        <w:t xml:space="preserve">    </w:t>
      </w:r>
    </w:p>
    <w:p w:rsidR="002C1A1D" w:rsidRDefault="002C1A1D" w:rsidP="002C1A1D">
      <w:pPr>
        <w:jc w:val="both"/>
        <w:rPr>
          <w:rFonts w:ascii="Verdana" w:hAnsi="Verdana" w:cs="Calibri"/>
          <w:lang w:val="en-GB"/>
        </w:rPr>
      </w:pPr>
      <w:r w:rsidRPr="004F6A0D">
        <w:rPr>
          <w:lang w:val="en-GB"/>
        </w:rPr>
        <w:t xml:space="preserve">The </w:t>
      </w:r>
      <w:r>
        <w:rPr>
          <w:lang w:val="en-GB"/>
        </w:rPr>
        <w:t>financial support includes</w:t>
      </w:r>
      <w:r w:rsidRPr="004F6A0D">
        <w:rPr>
          <w:lang w:val="en-GB"/>
        </w:rPr>
        <w:t xml:space="preserve">: </w:t>
      </w:r>
      <w:r>
        <w:rPr>
          <w:lang w:val="en-GB"/>
        </w:rPr>
        <w:tab/>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rsidR="002C1A1D" w:rsidRPr="00316595" w:rsidRDefault="002C1A1D" w:rsidP="002C1A1D">
      <w:pPr>
        <w:tabs>
          <w:tab w:val="left" w:pos="2552"/>
        </w:tabs>
        <w:rPr>
          <w:lang w:val="en-GB"/>
        </w:rPr>
      </w:pPr>
      <w:r>
        <w:rPr>
          <w:lang w:val="en-GB"/>
        </w:rPr>
        <w:t>The participant receives financial</w:t>
      </w:r>
      <w:r w:rsidRPr="00316595">
        <w:rPr>
          <w:lang w:val="en-GB"/>
        </w:rPr>
        <w:t xml:space="preserve"> support </w:t>
      </w:r>
      <w:r>
        <w:rPr>
          <w:lang w:val="en-GB"/>
        </w:rPr>
        <w:t>other than Erasmus+</w:t>
      </w:r>
      <w:r w:rsidRPr="00316595">
        <w:rPr>
          <w:lang w:val="en-GB"/>
        </w:rPr>
        <w:t xml:space="preserve"> </w:t>
      </w:r>
      <w:r>
        <w:rPr>
          <w:lang w:val="en-GB"/>
        </w:rPr>
        <w:t xml:space="preserve">EU </w:t>
      </w:r>
      <w:r w:rsidRPr="00316595">
        <w:rPr>
          <w:lang w:val="en-GB"/>
        </w:rPr>
        <w:t xml:space="preserve">funds </w:t>
      </w:r>
      <w:r w:rsidRPr="004F6A0D">
        <w:rPr>
          <w:rFonts w:ascii="Verdana" w:hAnsi="Verdana" w:cs="Calibri"/>
          <w:lang w:val="en-GB"/>
        </w:rPr>
        <w:sym w:font="Wingdings" w:char="F06F"/>
      </w:r>
      <w:r>
        <w:rPr>
          <w:rFonts w:ascii="Verdana" w:hAnsi="Verdana" w:cs="Calibri"/>
          <w:lang w:val="en-GB"/>
        </w:rPr>
        <w:t xml:space="preserve"> </w:t>
      </w:r>
      <w:r w:rsidRPr="00316595">
        <w:rPr>
          <w:lang w:val="en-GB"/>
        </w:rPr>
        <w:t xml:space="preserve">  </w:t>
      </w:r>
    </w:p>
    <w:p w:rsidR="0023790E" w:rsidRDefault="00D5336D" w:rsidP="00D5640D">
      <w:pPr>
        <w:jc w:val="both"/>
        <w:rPr>
          <w:rFonts w:ascii="Calibri" w:hAnsi="Calibri" w:cs="Calibri"/>
          <w:snapToGrid/>
          <w:lang w:val="en-GB"/>
        </w:rPr>
      </w:pPr>
      <w:r>
        <w:rPr>
          <w:rFonts w:ascii="Verdana" w:hAnsi="Verdana" w:cs="Calibri"/>
          <w:lang w:val="en-GB"/>
        </w:rPr>
        <w:br/>
      </w:r>
      <w:r w:rsidR="004F25D7">
        <w:rPr>
          <w:rFonts w:ascii="Calibri" w:hAnsi="Calibri" w:cs="Calibri"/>
          <w:noProof/>
          <w:snapToGrid/>
          <w:lang w:val="et-EE" w:eastAsia="et-EE"/>
        </w:rPr>
        <mc:AlternateContent>
          <mc:Choice Requires="wps">
            <w:drawing>
              <wp:anchor distT="0" distB="0" distL="114300" distR="114300" simplePos="0" relativeHeight="251657728" behindDoc="0" locked="0" layoutInCell="1" allowOverlap="1" wp14:anchorId="753A86E7" wp14:editId="61563557">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v:textbox>
              </v:shape>
            </w:pict>
          </mc:Fallback>
        </mc:AlternateContent>
      </w:r>
    </w:p>
    <w:p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6C10E8" w:rsidRDefault="006C10E8" w:rsidP="00AE02A7">
      <w:pPr>
        <w:jc w:val="both"/>
        <w:rPr>
          <w:sz w:val="24"/>
          <w:szCs w:val="24"/>
          <w:lang w:val="en-GB"/>
        </w:rPr>
      </w:pPr>
    </w:p>
    <w:p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6C10E8" w:rsidRPr="00735E06" w:rsidRDefault="006C10E8" w:rsidP="00741F5F">
      <w:pPr>
        <w:jc w:val="both"/>
        <w:rPr>
          <w:sz w:val="24"/>
          <w:szCs w:val="24"/>
          <w:lang w:val="en-GB"/>
        </w:rPr>
      </w:pPr>
    </w:p>
    <w:p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rsidP="00D5640D">
      <w:pPr>
        <w:jc w:val="both"/>
        <w:rPr>
          <w:sz w:val="24"/>
          <w:szCs w:val="24"/>
          <w:lang w:val="en-GB"/>
        </w:rPr>
      </w:pPr>
    </w:p>
    <w:p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AE02A7">
      <w:pPr>
        <w:jc w:val="both"/>
        <w:rPr>
          <w:u w:val="single"/>
          <w:lang w:val="en-GB"/>
        </w:rPr>
      </w:pPr>
    </w:p>
    <w:p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rsidR="00316A78" w:rsidRDefault="00316A78" w:rsidP="00065470">
      <w:pPr>
        <w:jc w:val="both"/>
        <w:rPr>
          <w:u w:val="single"/>
          <w:lang w:val="en-GB"/>
        </w:rPr>
      </w:pPr>
    </w:p>
    <w:p w:rsidR="00CF22BE" w:rsidRPr="00067DF7" w:rsidRDefault="006C10E8" w:rsidP="00FA3EEE">
      <w:pPr>
        <w:jc w:val="center"/>
        <w:rPr>
          <w:lang w:val="en-GB"/>
        </w:rPr>
      </w:pPr>
      <w:r>
        <w:rPr>
          <w:lang w:val="en-GB"/>
        </w:rPr>
        <w:br w:type="page"/>
      </w:r>
      <w:r w:rsidR="00CF22BE">
        <w:rPr>
          <w:lang w:val="en-GB"/>
        </w:rPr>
        <w:lastRenderedPageBreak/>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D5336D">
        <w:rPr>
          <w:lang w:val="en-GB"/>
        </w:rPr>
        <w:t xml:space="preserve">receiving </w:t>
      </w:r>
      <w:r w:rsidR="00316A78" w:rsidRPr="00D5336D">
        <w:rPr>
          <w:lang w:val="en-GB"/>
        </w:rPr>
        <w:t>institution</w:t>
      </w:r>
      <w:r w:rsidR="00D5336D">
        <w:rPr>
          <w:lang w:val="en-GB"/>
        </w:rPr>
        <w:t xml:space="preserve"> </w:t>
      </w:r>
      <w:r w:rsidR="003C4175" w:rsidRPr="004B46A1">
        <w:rPr>
          <w:lang w:val="en-GB"/>
        </w:rPr>
        <w:t xml:space="preserve">and the end date shall be the last day the participant needs to be present at the receiving </w:t>
      </w:r>
      <w:r w:rsidR="00316A78" w:rsidRPr="00D5336D">
        <w:rPr>
          <w:lang w:val="en-GB"/>
        </w:rPr>
        <w:t>institution</w:t>
      </w:r>
      <w:r w:rsidR="00D5336D">
        <w:rPr>
          <w:lang w:val="en-GB"/>
        </w:rPr>
        <w:t>.</w:t>
      </w:r>
    </w:p>
    <w:p w:rsidR="000E502A" w:rsidRDefault="003C4175" w:rsidP="00FA3EEE">
      <w:pPr>
        <w:ind w:left="567"/>
        <w:jc w:val="both"/>
        <w:rPr>
          <w:lang w:val="en-GB"/>
        </w:rPr>
      </w:pPr>
      <w:r w:rsidRPr="00505122">
        <w:rPr>
          <w:highlight w:val="yellow"/>
          <w:lang w:val="en-GB"/>
        </w:rPr>
        <w:t>Travel time is excluded from the duration of the mobility period.]</w:t>
      </w:r>
      <w:r>
        <w:rPr>
          <w:lang w:val="en-GB"/>
        </w:rPr>
        <w:t xml:space="preserve"> </w:t>
      </w:r>
      <w:r w:rsidRPr="00505122">
        <w:rPr>
          <w:highlight w:val="cyan"/>
          <w:lang w:val="en-GB"/>
        </w:rPr>
        <w:t>or</w:t>
      </w:r>
      <w:r>
        <w:rPr>
          <w:lang w:val="en-GB"/>
        </w:rPr>
        <w:t xml:space="preserve"> </w:t>
      </w:r>
      <w:r w:rsidRPr="00505122">
        <w:rPr>
          <w:highlight w:val="yellow"/>
          <w:lang w:val="en-GB"/>
        </w:rPr>
        <w:t>[</w:t>
      </w:r>
      <w:r w:rsidR="00505122" w:rsidRPr="00505122">
        <w:rPr>
          <w:highlight w:val="yellow"/>
          <w:lang w:val="en-GB"/>
        </w:rPr>
        <w:t>O</w:t>
      </w:r>
      <w:r w:rsidR="000D755B" w:rsidRPr="00505122">
        <w:rPr>
          <w:highlight w:val="yellow"/>
          <w:lang w:val="en-GB"/>
        </w:rPr>
        <w:t xml:space="preserve">ne day for travel before the first day of the activity abroad </w:t>
      </w:r>
      <w:r w:rsidR="00505122" w:rsidRPr="00505122">
        <w:rPr>
          <w:highlight w:val="yellow"/>
          <w:lang w:val="en-GB"/>
        </w:rPr>
        <w:t>[</w:t>
      </w:r>
      <w:r w:rsidR="000D755B" w:rsidRPr="00505122">
        <w:rPr>
          <w:highlight w:val="yellow"/>
          <w:lang w:val="en-GB"/>
        </w:rPr>
        <w:t>and</w:t>
      </w:r>
      <w:r w:rsidR="00505122" w:rsidRPr="00505122">
        <w:rPr>
          <w:highlight w:val="yellow"/>
          <w:lang w:val="en-GB"/>
        </w:rPr>
        <w:t>/or]</w:t>
      </w:r>
      <w:r w:rsidR="000D755B" w:rsidRPr="00505122">
        <w:rPr>
          <w:highlight w:val="yellow"/>
          <w:lang w:val="en-GB"/>
        </w:rPr>
        <w:t xml:space="preserve"> one day for travel </w:t>
      </w:r>
      <w:r w:rsidR="000D755B" w:rsidRPr="00D22140">
        <w:rPr>
          <w:highlight w:val="yellow"/>
          <w:lang w:val="en-GB"/>
        </w:rPr>
        <w:t xml:space="preserve">following </w:t>
      </w:r>
      <w:r w:rsidR="000D755B"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000D755B" w:rsidRPr="00505122">
        <w:rPr>
          <w:highlight w:val="yellow"/>
          <w:lang w:val="en-GB"/>
        </w:rPr>
        <w:t xml:space="preserve"> the calculation</w:t>
      </w:r>
      <w:r w:rsidR="004A1B7E">
        <w:rPr>
          <w:highlight w:val="yellow"/>
          <w:lang w:val="en-GB"/>
        </w:rPr>
        <w:t xml:space="preserve"> for </w:t>
      </w:r>
      <w:r w:rsidR="000D755B" w:rsidRPr="00505122">
        <w:rPr>
          <w:highlight w:val="yellow"/>
          <w:lang w:val="en-GB"/>
        </w:rPr>
        <w:t xml:space="preserve">individual </w:t>
      </w:r>
      <w:r w:rsidR="000D755B" w:rsidRPr="00E3573A">
        <w:rPr>
          <w:highlight w:val="yellow"/>
          <w:lang w:val="en-GB"/>
        </w:rPr>
        <w:t>support</w:t>
      </w:r>
      <w:r w:rsidR="000D755B" w:rsidRPr="00392154">
        <w:rPr>
          <w:highlight w:val="yellow"/>
          <w:lang w:val="en-GB"/>
        </w:rPr>
        <w:t>.]</w:t>
      </w:r>
      <w:r w:rsidR="00065470">
        <w:rPr>
          <w:lang w:val="en-GB"/>
        </w:rPr>
        <w:t xml:space="preserve"> </w:t>
      </w:r>
    </w:p>
    <w:p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and </w:t>
      </w:r>
      <w:r w:rsidR="00F16651" w:rsidRPr="008D7556">
        <w:rPr>
          <w:highlight w:val="yellow"/>
          <w:lang w:val="en-GB"/>
        </w:rPr>
        <w:t>[…]</w:t>
      </w:r>
      <w:r w:rsidR="00F16651">
        <w:rPr>
          <w:lang w:val="en-GB"/>
        </w:rPr>
        <w:t xml:space="preserve"> days for travel</w:t>
      </w:r>
      <w:r w:rsidR="00E633D7">
        <w:rPr>
          <w:lang w:val="en-GB"/>
        </w:rPr>
        <w:t>.</w:t>
      </w:r>
    </w:p>
    <w:p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D5336D">
        <w:rPr>
          <w:highlight w:val="yellow"/>
          <w:lang w:val="en-GB"/>
        </w:rPr>
        <w:t>There is no minimum number of teaching hours for invited staff from enterprises.</w:t>
      </w:r>
      <w:r w:rsidR="00122005" w:rsidRPr="00D5336D">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C34A4B" w:rsidRPr="00D5336D" w:rsidRDefault="003B55E5" w:rsidP="00D5336D">
      <w:pPr>
        <w:ind w:left="567" w:hanging="567"/>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1A2F05">
        <w:rPr>
          <w:highlight w:val="cyan"/>
          <w:lang w:val="en-GB"/>
        </w:rPr>
        <w:t>Option 1:</w:t>
      </w:r>
      <w:r w:rsidR="00B90021"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p>
    <w:p w:rsidR="00B90021" w:rsidRDefault="00B90021" w:rsidP="00B90021">
      <w:pPr>
        <w:ind w:left="600"/>
        <w:jc w:val="both"/>
        <w:rPr>
          <w:lang w:val="en-GB"/>
        </w:rPr>
      </w:pP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D5336D">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rsidR="00567F0A" w:rsidRPr="00B618F9" w:rsidRDefault="00567F0A">
      <w:pPr>
        <w:ind w:left="567" w:hanging="567"/>
        <w:rPr>
          <w:lang w:val="en-US"/>
        </w:rPr>
      </w:pPr>
    </w:p>
    <w:p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rsidR="006B4BBB" w:rsidRPr="00D5336D" w:rsidRDefault="00F653E1" w:rsidP="00D5336D">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The participant shall receive individual and tra</w:t>
      </w:r>
      <w:r w:rsidR="00D5336D">
        <w:rPr>
          <w:lang w:val="en-GB"/>
        </w:rPr>
        <w:t>vel support in a timely manner.</w:t>
      </w:r>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lastRenderedPageBreak/>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rsidR="00C8256F" w:rsidRDefault="00C8256F" w:rsidP="009B7B70">
      <w:pPr>
        <w:tabs>
          <w:tab w:val="left" w:pos="567"/>
        </w:tabs>
        <w:ind w:left="567" w:hanging="567"/>
        <w:jc w:val="both"/>
        <w:rPr>
          <w:lang w:val="en-GB"/>
        </w:rPr>
      </w:pPr>
    </w:p>
    <w:p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sidR="00D5336D">
        <w:rPr>
          <w:lang w:val="en-GB"/>
        </w:rPr>
        <w:t>.</w:t>
      </w:r>
    </w:p>
    <w:p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D5336D">
        <w:rPr>
          <w:lang w:val="en-GB"/>
        </w:rPr>
        <w:t>Estonian law.</w:t>
      </w:r>
    </w:p>
    <w:p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FA3EEE" w:rsidRDefault="001C3D10" w:rsidP="001A2F05">
      <w:pPr>
        <w:pStyle w:val="paragraph"/>
        <w:numPr>
          <w:ilvl w:val="0"/>
          <w:numId w:val="0"/>
        </w:numPr>
        <w:ind w:left="567" w:hanging="567"/>
        <w:rPr>
          <w:sz w:val="20"/>
          <w:szCs w:val="20"/>
        </w:rPr>
      </w:pPr>
    </w:p>
    <w:p w:rsidR="004B46A1" w:rsidRPr="00235040" w:rsidRDefault="004B46A1" w:rsidP="00063A74">
      <w:pPr>
        <w:tabs>
          <w:tab w:val="left" w:pos="567"/>
        </w:tabs>
        <w:ind w:left="567" w:hanging="567"/>
        <w:jc w:val="both"/>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r>
      <w:proofErr w:type="spellStart"/>
      <w:r w:rsidR="00D5336D">
        <w:rPr>
          <w:lang w:val="en-GB"/>
        </w:rPr>
        <w:t>Varema</w:t>
      </w:r>
      <w:proofErr w:type="spellEnd"/>
      <w:r w:rsidR="00D5336D">
        <w:rPr>
          <w:lang w:val="en-GB"/>
        </w:rPr>
        <w:t>, Henry-David, vice rector</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703F4C">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lastRenderedPageBreak/>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proofErr w:type="gramStart"/>
      <w:r w:rsidR="003D493D" w:rsidRPr="00FE149C">
        <w:rPr>
          <w:sz w:val="18"/>
          <w:szCs w:val="18"/>
          <w:lang w:val="en-GB"/>
        </w:rPr>
        <w:t xml:space="preserve">of </w:t>
      </w:r>
      <w:r w:rsidR="00D5336D">
        <w:rPr>
          <w:sz w:val="18"/>
          <w:szCs w:val="18"/>
          <w:lang w:val="en-GB"/>
        </w:rPr>
        <w:t xml:space="preserve"> Estonia</w:t>
      </w:r>
      <w:proofErr w:type="gramEnd"/>
      <w:r w:rsidR="00D5336D">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D5336D">
        <w:rPr>
          <w:sz w:val="18"/>
          <w:szCs w:val="18"/>
          <w:lang w:val="en-GB"/>
        </w:rPr>
        <w:t>Estonia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w:t>
      </w:r>
      <w:r w:rsidR="00C43000">
        <w:rPr>
          <w:sz w:val="18"/>
          <w:szCs w:val="18"/>
          <w:lang w:val="en-GB"/>
        </w:rPr>
        <w:t>ordance with Regulation (EC) No</w:t>
      </w:r>
      <w:r w:rsidR="00C43000" w:rsidRPr="00FE149C">
        <w:rPr>
          <w:sz w:val="18"/>
          <w:szCs w:val="18"/>
          <w:lang w:val="en-GB"/>
        </w:rPr>
        <w:t xml:space="preserve"> </w:t>
      </w:r>
      <w:r w:rsidR="00C43000">
        <w:rPr>
          <w:sz w:val="18"/>
          <w:szCs w:val="18"/>
          <w:lang w:val="en-GB"/>
        </w:rPr>
        <w:t>2018/1725</w:t>
      </w:r>
      <w:r w:rsidR="00C43000">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D5336D">
        <w:rPr>
          <w:sz w:val="18"/>
          <w:szCs w:val="18"/>
          <w:lang w:val="en-GB"/>
        </w:rPr>
        <w:t>Estonia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D5336D">
        <w:rPr>
          <w:sz w:val="18"/>
          <w:szCs w:val="18"/>
          <w:lang w:val="en-GB"/>
        </w:rPr>
        <w:t>Estonia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94" w:rsidRDefault="00AE1394">
      <w:r>
        <w:separator/>
      </w:r>
    </w:p>
  </w:endnote>
  <w:endnote w:type="continuationSeparator" w:id="0">
    <w:p w:rsidR="00AE1394" w:rsidRDefault="00AE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713DA1" w:rsidRDefault="00713DA1">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8E719B">
      <w:rPr>
        <w:rStyle w:val="PageNumber"/>
        <w:noProof/>
        <w:szCs w:val="24"/>
      </w:rPr>
      <w:t>4</w:t>
    </w:r>
    <w:r>
      <w:rPr>
        <w:rStyle w:val="PageNumber"/>
        <w:szCs w:val="24"/>
      </w:rPr>
      <w:fldChar w:fldCharType="end"/>
    </w:r>
  </w:p>
  <w:p w:rsidR="00713DA1" w:rsidRDefault="00713DA1">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8E719B">
      <w:rPr>
        <w:rStyle w:val="PageNumber"/>
        <w:noProof/>
      </w:rPr>
      <w:t>5</w:t>
    </w:r>
    <w:r>
      <w:rPr>
        <w:rStyle w:val="PageNumber"/>
      </w:rPr>
      <w:fldChar w:fldCharType="end"/>
    </w:r>
  </w:p>
  <w:p w:rsidR="00713DA1" w:rsidRDefault="00713DA1">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94" w:rsidRDefault="00AE1394">
      <w:r>
        <w:separator/>
      </w:r>
    </w:p>
  </w:footnote>
  <w:footnote w:type="continuationSeparator" w:id="0">
    <w:p w:rsidR="00AE1394" w:rsidRDefault="00AE1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D5640D" w:rsidRDefault="004F25D7" w:rsidP="00B2155C">
    <w:pPr>
      <w:pStyle w:val="Header"/>
      <w:rPr>
        <w:rFonts w:ascii="Arial Narrow" w:hAnsi="Arial Narrow" w:cs="Arial"/>
        <w:sz w:val="18"/>
        <w:szCs w:val="18"/>
        <w:u w:val="single"/>
        <w:lang w:val="en-GB"/>
      </w:rPr>
    </w:pPr>
    <w:r>
      <w:rPr>
        <w:noProof/>
        <w:snapToGrid/>
        <w:lang w:val="et-EE" w:eastAsia="et-EE"/>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713DA1"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1A1D"/>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031A"/>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E719B"/>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1394"/>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3000"/>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336D"/>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941648527">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ADE2F8EB-A90C-49BA-9621-51B6CEE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8E3C7-46B0-4A08-AD73-E1AAF3547F9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1A4BF74-46A3-40AA-BB70-2EEC9868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1619</Words>
  <Characters>9393</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Hanneleen Pihlak</cp:lastModifiedBy>
  <cp:revision>4</cp:revision>
  <cp:lastPrinted>2018-01-16T14:41:00Z</cp:lastPrinted>
  <dcterms:created xsi:type="dcterms:W3CDTF">2020-11-26T11:41:00Z</dcterms:created>
  <dcterms:modified xsi:type="dcterms:W3CDTF">2020-12-09T08:39:00Z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ies>
</file>